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210"/>
      </w:tblGrid>
      <w:tr w:rsidR="00E039E1" w:rsidRPr="00E039E1" w:rsidTr="000F236B">
        <w:tc>
          <w:tcPr>
            <w:tcW w:w="4158" w:type="dxa"/>
          </w:tcPr>
          <w:p w:rsidR="008F2548" w:rsidRDefault="00DA2900" w:rsidP="00317E65">
            <w:pPr>
              <w:pStyle w:val="Formal1"/>
              <w:ind w:left="-90" w:hanging="90"/>
            </w:pPr>
            <w:r>
              <w:rPr>
                <w:noProof/>
              </w:rPr>
              <w:drawing>
                <wp:inline distT="0" distB="0" distL="0" distR="0" wp14:anchorId="18117012" wp14:editId="70051530">
                  <wp:extent cx="2228850" cy="685800"/>
                  <wp:effectExtent l="0" t="0" r="0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1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E29" w:rsidRDefault="00763B32" w:rsidP="00317E65">
            <w:pPr>
              <w:pStyle w:val="Formal1"/>
              <w:ind w:left="90"/>
            </w:pPr>
            <w:r>
              <w:rPr>
                <w:noProof/>
              </w:rPr>
              <w:drawing>
                <wp:inline distT="0" distB="0" distL="0" distR="0">
                  <wp:extent cx="1393190" cy="435610"/>
                  <wp:effectExtent l="0" t="0" r="0" b="2540"/>
                  <wp:docPr id="1" name="Picture 1" descr="C:\Users\FJohnson\AppData\Local\Microsoft\Windows\Temporary Internet Files\Content.Outlook\AY3P6A4L\mhm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Johnson\AppData\Local\Microsoft\Windows\Temporary Internet Files\Content.Outlook\AY3P6A4L\mhm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E039E1" w:rsidRDefault="00E039E1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bookmarkStart w:id="0" w:name="AgendaTitle"/>
            <w:bookmarkEnd w:id="0"/>
          </w:p>
          <w:p w:rsidR="00E039E1" w:rsidRPr="00E039E1" w:rsidRDefault="00BE3DD3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SIM </w:t>
            </w:r>
            <w:r w:rsidR="00763B32">
              <w:rPr>
                <w:rStyle w:val="Strong"/>
                <w:rFonts w:asciiTheme="minorHAnsi" w:hAnsiTheme="minorHAnsi"/>
                <w:color w:val="1F497D" w:themeColor="text2"/>
              </w:rPr>
              <w:t>Payment Reform</w:t>
            </w:r>
            <w:r w:rsidR="00E039E1" w:rsidRP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</w:p>
          <w:p w:rsidR="008F2548" w:rsidRPr="00E039E1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Subcommittee</w:t>
            </w:r>
            <w:r w:rsidR="00BF2336" w:rsidRP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7F3B6F" w:rsidRPr="00E039E1">
              <w:rPr>
                <w:rStyle w:val="Strong"/>
                <w:rFonts w:asciiTheme="minorHAnsi" w:hAnsiTheme="minorHAnsi"/>
                <w:color w:val="1F497D" w:themeColor="text2"/>
              </w:rPr>
              <w:t>Meeting</w:t>
            </w:r>
          </w:p>
          <w:p w:rsidR="008F2548" w:rsidRPr="00E039E1" w:rsidRDefault="008F2548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</w:p>
          <w:p w:rsidR="008F2548" w:rsidRPr="00E039E1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Date</w:t>
            </w:r>
            <w:r w:rsidR="00E039E1" w:rsidRPr="00E039E1">
              <w:rPr>
                <w:rStyle w:val="Strong"/>
                <w:rFonts w:asciiTheme="minorHAnsi" w:hAnsiTheme="minorHAnsi"/>
                <w:color w:val="1F497D" w:themeColor="text2"/>
              </w:rPr>
              <w:t>: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763B32">
              <w:rPr>
                <w:rStyle w:val="Strong"/>
                <w:rFonts w:asciiTheme="minorHAnsi" w:hAnsiTheme="minorHAnsi"/>
                <w:color w:val="1F497D" w:themeColor="text2"/>
              </w:rPr>
              <w:t>December 10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>, 2013</w:t>
            </w:r>
          </w:p>
          <w:p w:rsidR="008F2548" w:rsidRPr="00E039E1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Time</w:t>
            </w:r>
            <w:r w:rsidR="00E039E1" w:rsidRPr="00E039E1">
              <w:rPr>
                <w:rStyle w:val="Strong"/>
                <w:rFonts w:asciiTheme="minorHAnsi" w:hAnsiTheme="minorHAnsi"/>
                <w:color w:val="1F497D" w:themeColor="text2"/>
              </w:rPr>
              <w:t>: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763B32">
              <w:rPr>
                <w:rStyle w:val="Strong"/>
                <w:rFonts w:asciiTheme="minorHAnsi" w:hAnsiTheme="minorHAnsi"/>
                <w:color w:val="1F497D" w:themeColor="text2"/>
              </w:rPr>
              <w:t>3:00 p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>m</w:t>
            </w:r>
            <w:r w:rsidR="00763B32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>-</w:t>
            </w:r>
            <w:r w:rsidR="00763B32">
              <w:rPr>
                <w:rStyle w:val="Strong"/>
                <w:rFonts w:asciiTheme="minorHAnsi" w:hAnsiTheme="minorHAnsi"/>
                <w:color w:val="1F497D" w:themeColor="text2"/>
              </w:rPr>
              <w:t xml:space="preserve"> 5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>:00pm</w:t>
            </w:r>
          </w:p>
          <w:p w:rsidR="00DD100E" w:rsidRPr="00E039E1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Location</w:t>
            </w:r>
            <w:r w:rsidR="00E039E1" w:rsidRPr="00E039E1">
              <w:rPr>
                <w:rStyle w:val="Strong"/>
                <w:rFonts w:asciiTheme="minorHAnsi" w:hAnsiTheme="minorHAnsi"/>
                <w:color w:val="1F497D" w:themeColor="text2"/>
              </w:rPr>
              <w:t>: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763B32">
              <w:rPr>
                <w:rStyle w:val="Strong"/>
                <w:rFonts w:asciiTheme="minorHAnsi" w:hAnsiTheme="minorHAnsi"/>
                <w:color w:val="1F497D" w:themeColor="text2"/>
              </w:rPr>
              <w:t>Governor Hill Mansion, Augusta</w:t>
            </w:r>
          </w:p>
          <w:p w:rsidR="00DD100E" w:rsidRPr="00E039E1" w:rsidRDefault="00DD100E" w:rsidP="00BF2336">
            <w:pPr>
              <w:pStyle w:val="Formal1"/>
              <w:spacing w:before="0" w:after="0"/>
              <w:jc w:val="right"/>
              <w:rPr>
                <w:rStyle w:val="Strong"/>
                <w:color w:val="1F497D" w:themeColor="text2"/>
              </w:rPr>
            </w:pPr>
          </w:p>
        </w:tc>
      </w:tr>
      <w:tr w:rsidR="008F2548" w:rsidTr="000F236B">
        <w:tc>
          <w:tcPr>
            <w:tcW w:w="10368" w:type="dxa"/>
            <w:gridSpan w:val="2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 w:after="0"/>
            </w:pPr>
          </w:p>
        </w:tc>
      </w:tr>
      <w:tr w:rsidR="008F2548" w:rsidTr="000F236B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/>
              <w:rPr>
                <w:sz w:val="16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E039E1" w:rsidRDefault="00E039E1" w:rsidP="00E039E1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----- Agenda </w:t>
            </w:r>
            <w:r w:rsidR="008F2548" w:rsidRPr="00DA2900">
              <w:rPr>
                <w:rFonts w:ascii="Palatino Linotype" w:hAnsi="Palatino Linotype"/>
                <w:b/>
                <w:sz w:val="22"/>
                <w:szCs w:val="22"/>
              </w:rPr>
              <w:t>-----</w:t>
            </w:r>
          </w:p>
          <w:p w:rsidR="00E039E1" w:rsidRPr="00DA2900" w:rsidRDefault="00E039E1" w:rsidP="00E039E1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0532EA" w:rsidRDefault="006B10E1" w:rsidP="000532EA">
            <w:pPr>
              <w:pStyle w:val="Formal1"/>
              <w:spacing w:before="0"/>
              <w:ind w:left="720" w:hanging="720"/>
              <w:rPr>
                <w:rFonts w:ascii="Calibri" w:hAnsi="Calibri"/>
                <w:b/>
                <w:sz w:val="22"/>
                <w:szCs w:val="22"/>
              </w:rPr>
            </w:pP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Lead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</w:tr>
    </w:tbl>
    <w:p w:rsidR="008F2548" w:rsidRDefault="00CE6DFA" w:rsidP="0067435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6DFA" w:rsidRDefault="00CE6DFA" w:rsidP="00674354">
      <w:pPr>
        <w:rPr>
          <w:u w:val="single"/>
        </w:rPr>
      </w:pPr>
    </w:p>
    <w:p w:rsidR="00CE6DFA" w:rsidRDefault="00CE6DFA" w:rsidP="00CE6DFA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Welcome and introductions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 min.</w:t>
      </w:r>
    </w:p>
    <w:p w:rsidR="00CE6DFA" w:rsidRDefault="00CE6DFA" w:rsidP="00CE6DFA">
      <w:pPr>
        <w:rPr>
          <w:b/>
        </w:rPr>
      </w:pPr>
    </w:p>
    <w:p w:rsidR="00CE6DFA" w:rsidRDefault="00CE6DFA" w:rsidP="00CE6DFA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Approval of Nov. 12</w:t>
      </w:r>
      <w:r w:rsidRPr="00CE6DFA">
        <w:rPr>
          <w:b/>
          <w:vertAlign w:val="superscript"/>
        </w:rPr>
        <w:t>th</w:t>
      </w:r>
      <w:r>
        <w:rPr>
          <w:b/>
        </w:rPr>
        <w:t xml:space="preserve"> meeting notes</w:t>
      </w:r>
      <w:r>
        <w:rPr>
          <w:b/>
        </w:rPr>
        <w:tab/>
        <w:t xml:space="preserve">    </w:t>
      </w:r>
      <w:r>
        <w:rPr>
          <w:b/>
        </w:rPr>
        <w:tab/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CE6DFA">
        <w:rPr>
          <w:b/>
        </w:rPr>
        <w:t>5 min.</w:t>
      </w:r>
    </w:p>
    <w:p w:rsidR="00CE6DFA" w:rsidRPr="00CE6DFA" w:rsidRDefault="00CE6DFA" w:rsidP="00CE6DFA">
      <w:pPr>
        <w:pStyle w:val="ListParagraph"/>
        <w:rPr>
          <w:b/>
        </w:rPr>
      </w:pPr>
    </w:p>
    <w:p w:rsidR="00CE6DFA" w:rsidRDefault="00CE6DFA" w:rsidP="00CE6DFA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 xml:space="preserve">Webinar: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Michael Bailit, Bailit Health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60 min.</w:t>
      </w:r>
    </w:p>
    <w:p w:rsidR="00CE6DFA" w:rsidRPr="00CE6DFA" w:rsidRDefault="00CE6DFA" w:rsidP="00CE6DFA">
      <w:pPr>
        <w:pStyle w:val="ListParagraph"/>
        <w:rPr>
          <w:b/>
        </w:rPr>
      </w:pPr>
    </w:p>
    <w:p w:rsidR="00CE6DFA" w:rsidRDefault="00CE6DFA" w:rsidP="00CE6DFA">
      <w:pPr>
        <w:pStyle w:val="ListParagraph"/>
        <w:rPr>
          <w:b/>
        </w:rPr>
      </w:pPr>
      <w:r>
        <w:rPr>
          <w:b/>
        </w:rPr>
        <w:t>Developing an ACO Measure Set for Maine</w:t>
      </w:r>
    </w:p>
    <w:p w:rsidR="00CE6DFA" w:rsidRDefault="00CE6DFA" w:rsidP="00CE6DFA">
      <w:pPr>
        <w:rPr>
          <w:b/>
        </w:rPr>
      </w:pPr>
    </w:p>
    <w:p w:rsidR="00CE6DFA" w:rsidRDefault="00CE6DFA" w:rsidP="00CE6DFA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Question and answer session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 min.</w:t>
      </w:r>
    </w:p>
    <w:p w:rsidR="00CE6DFA" w:rsidRDefault="00CE6DFA" w:rsidP="00CE6DFA">
      <w:pPr>
        <w:rPr>
          <w:b/>
        </w:rPr>
      </w:pPr>
    </w:p>
    <w:p w:rsidR="00CE6DFA" w:rsidRDefault="00CE6DFA" w:rsidP="00CE6DFA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2014 meeting schedule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 min.</w:t>
      </w:r>
    </w:p>
    <w:p w:rsidR="00CE6DFA" w:rsidRPr="00CE6DFA" w:rsidRDefault="00CE6DFA" w:rsidP="00CE6DFA">
      <w:pPr>
        <w:pStyle w:val="ListParagraph"/>
        <w:rPr>
          <w:b/>
        </w:rPr>
      </w:pPr>
    </w:p>
    <w:p w:rsidR="00CE6DFA" w:rsidRDefault="00CE6DFA" w:rsidP="00CE6DFA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Public comment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 min.</w:t>
      </w:r>
    </w:p>
    <w:p w:rsidR="00CE6DFA" w:rsidRDefault="00CE6DFA" w:rsidP="00CE6DFA">
      <w:pPr>
        <w:ind w:left="360"/>
        <w:rPr>
          <w:b/>
        </w:rPr>
      </w:pPr>
    </w:p>
    <w:p w:rsidR="00CE6DFA" w:rsidRDefault="00CE6DFA" w:rsidP="00CE6DFA">
      <w:pPr>
        <w:ind w:left="360"/>
        <w:rPr>
          <w:b/>
        </w:rPr>
      </w:pPr>
    </w:p>
    <w:p w:rsidR="0066217D" w:rsidRDefault="0066217D" w:rsidP="00CE6DFA">
      <w:pPr>
        <w:ind w:left="360"/>
        <w:rPr>
          <w:b/>
        </w:rPr>
      </w:pPr>
      <w:r>
        <w:rPr>
          <w:b/>
        </w:rPr>
        <w:t xml:space="preserve">For those members of the Payment Reform Subcommittee who cannot attend in person, please note that you can access the meeting via </w:t>
      </w:r>
      <w:proofErr w:type="spellStart"/>
      <w:r>
        <w:rPr>
          <w:b/>
        </w:rPr>
        <w:t>gotomeeting</w:t>
      </w:r>
      <w:proofErr w:type="spellEnd"/>
      <w:r>
        <w:rPr>
          <w:b/>
        </w:rPr>
        <w:t xml:space="preserve"> at the link below. For members of the ACI steering committee who would like to join the webinar, please see the instructions below.</w:t>
      </w:r>
      <w:bookmarkStart w:id="1" w:name="_GoBack"/>
      <w:bookmarkEnd w:id="1"/>
      <w:r>
        <w:rPr>
          <w:b/>
        </w:rPr>
        <w:t xml:space="preserve"> </w:t>
      </w:r>
    </w:p>
    <w:p w:rsidR="0066217D" w:rsidRDefault="0066217D" w:rsidP="00CE6DFA">
      <w:pPr>
        <w:ind w:left="360"/>
        <w:rPr>
          <w:b/>
        </w:rPr>
      </w:pPr>
    </w:p>
    <w:p w:rsidR="0066217D" w:rsidRDefault="0066217D" w:rsidP="0066217D">
      <w:pPr>
        <w:pStyle w:val="ListParagraph"/>
        <w:numPr>
          <w:ilvl w:val="0"/>
          <w:numId w:val="16"/>
        </w:numPr>
      </w:pPr>
      <w:r>
        <w:t>Please join my meeting.</w:t>
      </w:r>
    </w:p>
    <w:p w:rsidR="0066217D" w:rsidRDefault="0066217D" w:rsidP="0066217D">
      <w:pPr>
        <w:pStyle w:val="ListParagraph"/>
      </w:pPr>
      <w:hyperlink r:id="rId10" w:history="1">
        <w:r>
          <w:rPr>
            <w:rStyle w:val="Hyperlink"/>
          </w:rPr>
          <w:t>https://www3.gotomeeting.com/join/836266774</w:t>
        </w:r>
      </w:hyperlink>
    </w:p>
    <w:p w:rsidR="0066217D" w:rsidRDefault="0066217D" w:rsidP="0066217D"/>
    <w:p w:rsidR="0066217D" w:rsidRDefault="0066217D" w:rsidP="0066217D">
      <w:pPr>
        <w:pStyle w:val="ListParagraph"/>
        <w:numPr>
          <w:ilvl w:val="0"/>
          <w:numId w:val="16"/>
        </w:numPr>
      </w:pPr>
      <w:r>
        <w:t>Use your microphone and speakers (VoIP) – a headset is recommended. Or, call in using your telephone</w:t>
      </w:r>
    </w:p>
    <w:p w:rsidR="0066217D" w:rsidRDefault="0066217D" w:rsidP="0066217D">
      <w:pPr>
        <w:pStyle w:val="ListParagraph"/>
      </w:pPr>
    </w:p>
    <w:p w:rsidR="0066217D" w:rsidRDefault="0066217D" w:rsidP="0066217D">
      <w:pPr>
        <w:pStyle w:val="ListParagraph"/>
      </w:pPr>
      <w:r>
        <w:t>Dial 1+ (636) 277-0130</w:t>
      </w:r>
    </w:p>
    <w:p w:rsidR="0066217D" w:rsidRDefault="0066217D" w:rsidP="0066217D">
      <w:pPr>
        <w:pStyle w:val="ListParagraph"/>
      </w:pPr>
      <w:r>
        <w:t>Access Code: 836-266-774</w:t>
      </w:r>
    </w:p>
    <w:p w:rsidR="0066217D" w:rsidRDefault="0066217D" w:rsidP="0066217D">
      <w:pPr>
        <w:pStyle w:val="ListParagraph"/>
      </w:pPr>
      <w:r>
        <w:t>Audio PIN: Shown after joining the meeting</w:t>
      </w:r>
    </w:p>
    <w:p w:rsidR="0066217D" w:rsidRDefault="0066217D" w:rsidP="0066217D"/>
    <w:p w:rsidR="0066217D" w:rsidRDefault="0066217D" w:rsidP="0066217D">
      <w:pPr>
        <w:rPr>
          <w:b/>
          <w:bCs/>
        </w:rPr>
      </w:pPr>
      <w:r>
        <w:t xml:space="preserve">                </w:t>
      </w:r>
      <w:r>
        <w:rPr>
          <w:b/>
          <w:bCs/>
        </w:rPr>
        <w:t>Meeting ID: 836-266-774</w:t>
      </w:r>
    </w:p>
    <w:p w:rsidR="0066217D" w:rsidRDefault="0066217D" w:rsidP="0066217D">
      <w:pPr>
        <w:rPr>
          <w:b/>
          <w:bCs/>
        </w:rPr>
      </w:pPr>
    </w:p>
    <w:p w:rsidR="0066217D" w:rsidRDefault="0066217D" w:rsidP="0066217D">
      <w:r>
        <w:t xml:space="preserve">Please be advised that the first 24 participants who want to attend the entire subcommittee meeting remotely will be able to access though the </w:t>
      </w:r>
      <w:proofErr w:type="spellStart"/>
      <w:r>
        <w:t>gotomeeting</w:t>
      </w:r>
      <w:proofErr w:type="spellEnd"/>
      <w:r>
        <w:t xml:space="preserve"> site. If you are only interested in the webinar you may access that through the link below.</w:t>
      </w:r>
    </w:p>
    <w:p w:rsidR="0066217D" w:rsidRDefault="0066217D" w:rsidP="0066217D"/>
    <w:p w:rsidR="0066217D" w:rsidRDefault="0066217D" w:rsidP="0066217D">
      <w:pPr>
        <w:autoSpaceDE w:val="0"/>
        <w:autoSpaceDN w:val="0"/>
        <w:spacing w:before="120"/>
        <w:rPr>
          <w:sz w:val="24"/>
          <w:szCs w:val="24"/>
        </w:rPr>
      </w:pPr>
      <w:r>
        <w:t>Topic: ACO Measures Presentation Date and Time:</w:t>
      </w:r>
    </w:p>
    <w:p w:rsidR="0066217D" w:rsidRDefault="0066217D" w:rsidP="0066217D">
      <w:pPr>
        <w:autoSpaceDE w:val="0"/>
        <w:autoSpaceDN w:val="0"/>
        <w:spacing w:before="120"/>
        <w:ind w:hanging="360"/>
        <w:rPr>
          <w:sz w:val="24"/>
          <w:szCs w:val="24"/>
        </w:rPr>
      </w:pPr>
      <w:r>
        <w:t>Tuesday, December 10, 2013 3:15 pm, Eastern Standard Time (New York, GMT-05:00)</w:t>
      </w:r>
    </w:p>
    <w:p w:rsidR="0066217D" w:rsidRDefault="0066217D" w:rsidP="0066217D">
      <w:pPr>
        <w:autoSpaceDE w:val="0"/>
        <w:autoSpaceDN w:val="0"/>
        <w:ind w:hanging="360"/>
        <w:rPr>
          <w:sz w:val="24"/>
          <w:szCs w:val="24"/>
        </w:rPr>
      </w:pPr>
      <w:r>
        <w:t>Event number: 667 221 564</w:t>
      </w:r>
    </w:p>
    <w:p w:rsidR="0066217D" w:rsidRDefault="0066217D" w:rsidP="0066217D">
      <w:pPr>
        <w:autoSpaceDE w:val="0"/>
        <w:autoSpaceDN w:val="0"/>
        <w:ind w:hanging="360"/>
        <w:rPr>
          <w:sz w:val="24"/>
          <w:szCs w:val="24"/>
        </w:rPr>
      </w:pPr>
      <w:r>
        <w:t>Event password: 1234</w:t>
      </w:r>
    </w:p>
    <w:p w:rsidR="0066217D" w:rsidRDefault="0066217D" w:rsidP="0066217D">
      <w:pPr>
        <w:autoSpaceDE w:val="0"/>
        <w:autoSpaceDN w:val="0"/>
        <w:ind w:hanging="360"/>
        <w:rPr>
          <w:sz w:val="24"/>
          <w:szCs w:val="24"/>
        </w:rPr>
      </w:pPr>
      <w:r>
        <w:t>Panelist password: The Event has no Panelist Password</w:t>
      </w:r>
    </w:p>
    <w:p w:rsidR="0066217D" w:rsidRDefault="0066217D" w:rsidP="0066217D">
      <w:pPr>
        <w:autoSpaceDE w:val="0"/>
        <w:autoSpaceDN w:val="0"/>
        <w:ind w:hanging="360"/>
        <w:rPr>
          <w:sz w:val="24"/>
          <w:szCs w:val="24"/>
        </w:rPr>
      </w:pPr>
      <w:r>
        <w:t>Host key: 334478 (Use this to reclaim host privileges.)</w:t>
      </w:r>
    </w:p>
    <w:p w:rsidR="0066217D" w:rsidRDefault="0066217D" w:rsidP="0066217D">
      <w:pPr>
        <w:autoSpaceDE w:val="0"/>
        <w:autoSpaceDN w:val="0"/>
        <w:ind w:hanging="360"/>
        <w:rPr>
          <w:sz w:val="24"/>
          <w:szCs w:val="24"/>
        </w:rPr>
      </w:pPr>
      <w:r>
        <w:lastRenderedPageBreak/>
        <w:t xml:space="preserve">Event address for attendees: </w:t>
      </w:r>
      <w:hyperlink r:id="rId11" w:history="1">
        <w:r>
          <w:rPr>
            <w:rStyle w:val="Hyperlink"/>
            <w:rFonts w:ascii="Arial" w:hAnsi="Arial" w:cs="Arial"/>
          </w:rPr>
          <w:t>https://mhca.webex.com/mhca/onstage/g.php?d=667221564&amp;t=a</w:t>
        </w:r>
      </w:hyperlink>
    </w:p>
    <w:p w:rsidR="0066217D" w:rsidRDefault="0066217D" w:rsidP="0066217D">
      <w:pPr>
        <w:autoSpaceDE w:val="0"/>
        <w:autoSpaceDN w:val="0"/>
        <w:ind w:hanging="360"/>
        <w:rPr>
          <w:sz w:val="24"/>
          <w:szCs w:val="24"/>
        </w:rPr>
      </w:pPr>
      <w:r>
        <w:t xml:space="preserve">Event address for panelists: </w:t>
      </w:r>
      <w:hyperlink r:id="rId12" w:history="1">
        <w:r>
          <w:rPr>
            <w:rStyle w:val="Hyperlink"/>
            <w:rFonts w:ascii="Arial" w:hAnsi="Arial" w:cs="Arial"/>
          </w:rPr>
          <w:t>https://mhca.webex.com/mhca/onstage/g.php?d=667221564&amp;t=p</w:t>
        </w:r>
      </w:hyperlink>
    </w:p>
    <w:p w:rsidR="0066217D" w:rsidRDefault="0066217D" w:rsidP="0066217D">
      <w:pPr>
        <w:autoSpaceDE w:val="0"/>
        <w:autoSpaceDN w:val="0"/>
        <w:rPr>
          <w:sz w:val="24"/>
          <w:szCs w:val="24"/>
        </w:rPr>
      </w:pPr>
    </w:p>
    <w:p w:rsidR="00CE6DFA" w:rsidRPr="00CE6DFA" w:rsidRDefault="00CE6DFA" w:rsidP="00CE6DFA">
      <w:pPr>
        <w:ind w:left="360"/>
        <w:rPr>
          <w:b/>
        </w:rPr>
      </w:pPr>
    </w:p>
    <w:sectPr w:rsidR="00CE6DFA" w:rsidRPr="00CE6DFA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57" w:rsidRDefault="00116557" w:rsidP="0090390E">
      <w:r>
        <w:separator/>
      </w:r>
    </w:p>
  </w:endnote>
  <w:endnote w:type="continuationSeparator" w:id="0">
    <w:p w:rsidR="00116557" w:rsidRDefault="00116557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57" w:rsidRDefault="00116557" w:rsidP="0090390E">
      <w:r>
        <w:separator/>
      </w:r>
    </w:p>
  </w:footnote>
  <w:footnote w:type="continuationSeparator" w:id="0">
    <w:p w:rsidR="00116557" w:rsidRDefault="00116557" w:rsidP="0090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923A5"/>
    <w:multiLevelType w:val="hybridMultilevel"/>
    <w:tmpl w:val="BB0AF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2445"/>
    <w:multiLevelType w:val="hybridMultilevel"/>
    <w:tmpl w:val="30B4D2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3A19"/>
    <w:multiLevelType w:val="hybridMultilevel"/>
    <w:tmpl w:val="8F6EF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14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7E29"/>
    <w:rsid w:val="000532EA"/>
    <w:rsid w:val="000D29B9"/>
    <w:rsid w:val="000E1E0D"/>
    <w:rsid w:val="000F236B"/>
    <w:rsid w:val="0011294E"/>
    <w:rsid w:val="00116557"/>
    <w:rsid w:val="00120431"/>
    <w:rsid w:val="001B7575"/>
    <w:rsid w:val="001D01D2"/>
    <w:rsid w:val="001E05C1"/>
    <w:rsid w:val="00207F81"/>
    <w:rsid w:val="00232AD8"/>
    <w:rsid w:val="00255652"/>
    <w:rsid w:val="00270A62"/>
    <w:rsid w:val="00294FF1"/>
    <w:rsid w:val="002F2A5F"/>
    <w:rsid w:val="003013AC"/>
    <w:rsid w:val="00317E65"/>
    <w:rsid w:val="00340779"/>
    <w:rsid w:val="00386AD2"/>
    <w:rsid w:val="003C2174"/>
    <w:rsid w:val="004512AB"/>
    <w:rsid w:val="0046586F"/>
    <w:rsid w:val="004D3C99"/>
    <w:rsid w:val="004F7060"/>
    <w:rsid w:val="00641B79"/>
    <w:rsid w:val="00657AEB"/>
    <w:rsid w:val="0066217D"/>
    <w:rsid w:val="0066588B"/>
    <w:rsid w:val="00674354"/>
    <w:rsid w:val="00674881"/>
    <w:rsid w:val="006B10E1"/>
    <w:rsid w:val="006C25AC"/>
    <w:rsid w:val="006E6DF5"/>
    <w:rsid w:val="006F3CD5"/>
    <w:rsid w:val="0072100F"/>
    <w:rsid w:val="007257CB"/>
    <w:rsid w:val="00735AB4"/>
    <w:rsid w:val="00763B32"/>
    <w:rsid w:val="007C0B2F"/>
    <w:rsid w:val="007E19F9"/>
    <w:rsid w:val="007F1034"/>
    <w:rsid w:val="007F3B6F"/>
    <w:rsid w:val="00815FE8"/>
    <w:rsid w:val="008A7CFF"/>
    <w:rsid w:val="008F2548"/>
    <w:rsid w:val="0090390E"/>
    <w:rsid w:val="00931129"/>
    <w:rsid w:val="00981F0A"/>
    <w:rsid w:val="00995EA9"/>
    <w:rsid w:val="009D7B44"/>
    <w:rsid w:val="009E5D4F"/>
    <w:rsid w:val="00A12251"/>
    <w:rsid w:val="00A81428"/>
    <w:rsid w:val="00B10DC2"/>
    <w:rsid w:val="00B357FB"/>
    <w:rsid w:val="00B44A66"/>
    <w:rsid w:val="00B64A7B"/>
    <w:rsid w:val="00BA081D"/>
    <w:rsid w:val="00BE3DD3"/>
    <w:rsid w:val="00BF2336"/>
    <w:rsid w:val="00C354D5"/>
    <w:rsid w:val="00C40C01"/>
    <w:rsid w:val="00C46257"/>
    <w:rsid w:val="00CD2D29"/>
    <w:rsid w:val="00CE6DFA"/>
    <w:rsid w:val="00D66AF9"/>
    <w:rsid w:val="00D72B62"/>
    <w:rsid w:val="00D83163"/>
    <w:rsid w:val="00D9183F"/>
    <w:rsid w:val="00DA2900"/>
    <w:rsid w:val="00DA41A9"/>
    <w:rsid w:val="00DB3074"/>
    <w:rsid w:val="00DC6A63"/>
    <w:rsid w:val="00DD100E"/>
    <w:rsid w:val="00E039E1"/>
    <w:rsid w:val="00E65727"/>
    <w:rsid w:val="00E8133F"/>
    <w:rsid w:val="00EA25B9"/>
    <w:rsid w:val="00F76CAB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662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662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hca.webex.com/mhca/onstage/g.php?d=667221564&amp;t=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hca.webex.com/mhca/onstage/g.php?d=667221564&amp;t=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3.gotomeeting.com/join/8362667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2013-12-09T14:41:00Z</dcterms:created>
  <dcterms:modified xsi:type="dcterms:W3CDTF">2013-12-09T14:41:00Z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